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The 20 Richest Americans in 2016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3240"/>
        <w:gridCol w:w="4230"/>
        <w:tblGridChange w:id="0">
          <w:tblGrid>
            <w:gridCol w:w="1620"/>
            <w:gridCol w:w="3240"/>
            <w:gridCol w:w="42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Source of his/her wealth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8"/>
          <w:szCs w:val="48"/>
          <w:rtl w:val="0"/>
        </w:rPr>
        <w:t xml:space="preserve">Causes of the French Revolution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fill in the causes in order of importance. One is the most important.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2955"/>
        <w:gridCol w:w="5100"/>
        <w:tblGridChange w:id="0">
          <w:tblGrid>
            <w:gridCol w:w="1335"/>
            <w:gridCol w:w="2955"/>
            <w:gridCol w:w="5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It’s significant because . . .</w:t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